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280" w:after="200"/>
        <w:rPr/>
      </w:pPr>
      <w:r>
        <w:rPr/>
      </w:r>
    </w:p>
    <w:tbl>
      <w:tblPr>
        <w:tblW w:w="10471" w:type="dxa"/>
        <w:jc w:val="left"/>
        <w:tblInd w:w="-66"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35" w:type="dxa"/>
          <w:bottom w:w="105" w:type="dxa"/>
          <w:right w:w="105" w:type="dxa"/>
        </w:tblCellMar>
      </w:tblPr>
      <w:tblGrid>
        <w:gridCol w:w="2693"/>
        <w:gridCol w:w="1800"/>
        <w:gridCol w:w="3781"/>
        <w:gridCol w:w="2197"/>
      </w:tblGrid>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IFI6101.DT</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Asjade internet</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3 EAP</w:t>
            </w:r>
          </w:p>
        </w:tc>
        <w:tc>
          <w:tcPr>
            <w:tcW w:w="18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42t</w:t>
            </w:r>
          </w:p>
        </w:tc>
        <w:tc>
          <w:tcPr>
            <w:tcW w:w="378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 xml:space="preserve">Õppesemester: </w:t>
            </w:r>
            <w:r>
              <w:rPr/>
              <w:t>S</w:t>
            </w:r>
          </w:p>
        </w:tc>
        <w:tc>
          <w:tcPr>
            <w:tcW w:w="21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Arvestus</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Eesmärk:</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Antakse ülevaade üle võrgu ühendatavatest seadmetest, anduritest ja nende ühendamise viisidest ja koostatavate lahenduste võimalustest ning praktilised oskused tavaelus kasutatavate seadmete ja andurite  ühendamiseks võrku koos toimimiseks vajaliku tarkvara loomiseks.</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Aine lühikirjeldus:</w:t>
            </w:r>
          </w:p>
          <w:p>
            <w:pPr>
              <w:pStyle w:val="Western"/>
              <w:spacing w:lineRule="auto" w:line="240" w:before="280" w:after="119"/>
              <w:rPr/>
            </w:pPr>
            <w:r>
              <w:rPr/>
              <w:t>(sh iseseisva töö sisu kirjeldus vastavuses iseseisva töö mahule)</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 xml:space="preserve">Seadmete ühendamise moodused ajaloos, jõudmine tekkivate standarditeni. Standardite kandidaadid, nende eripärad, kasutusvaldkonnad. Lahenduste loomise juures tekkivad korralduslikud probleemid ja leevendused. Võrku ühendatavad seadmed ja kasutatavad protokollid. Vajalikud adapterid seadmete liidestamiseks. Võrguühenduse loomise moodused, vajalikud seadistused Linuxi ning Androidi juures. Võrguprogrammide loomise eripärad. Java, Pythoni ja PHP näited. Andmete ülekanne ja töötlemine. Rakenduste töökindluse testimine. Iseseisev teooriamaterjalide lugemine ning võrgulahenduste koostamine. </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Õpiväljundid:</w:t>
            </w:r>
          </w:p>
          <w:p>
            <w:pPr>
              <w:pStyle w:val="Western"/>
              <w:spacing w:lineRule="auto" w:line="240" w:before="280" w:after="119"/>
              <w:rPr/>
            </w:pPr>
            <w:r>
              <w:rPr/>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 xml:space="preserve">Kursuse läbinu: </w:t>
              <w:br/>
              <w:t>Tunneb seadmete ühendamise võimalusi ja standardeid ning seadmetega seotud võrgurakenduste tarkvaralisi probleeme ja võimalusi.</w:t>
              <w:br/>
              <w:t>Oskab nende põhjal koostada reaalelus kasutatavaid lahendusi ja katseseadmeid</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Hindamismeetodid:</w:t>
            </w:r>
          </w:p>
          <w:p>
            <w:pPr>
              <w:pStyle w:val="Western"/>
              <w:spacing w:lineRule="auto" w:line="240" w:before="280" w:after="119"/>
              <w:rPr/>
            </w:pPr>
            <w:r>
              <w:rPr/>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 xml:space="preserve">Arvestus. Arvestuse sooritamiseks tuleb esitada kodu- ja tunnitööd läbitud suuremate teemade kohta. Samuti sooritada kontrolltöö ning teooriaseminar. </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Õppejõud:</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Jaagup Kippar.</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Ingliskeelne nimetus:</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Internet of Things</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Eeldusaine:</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Programmeerimise põhikursus</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Kohustuslik kirjandus:</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Normal"/>
              <w:numPr>
                <w:ilvl w:val="0"/>
                <w:numId w:val="0"/>
              </w:numPr>
              <w:shd w:fill="FFFFFF" w:val="clear"/>
              <w:spacing w:lineRule="auto" w:line="240" w:before="105" w:after="210"/>
              <w:textAlignment w:val="baseline"/>
              <w:outlineLvl w:val="0"/>
              <w:rPr/>
            </w:pPr>
            <w:r>
              <w:rPr>
                <w:rFonts w:eastAsia="Times New Roman" w:cs="Times New Roman" w:ascii="Times New Roman" w:hAnsi="Times New Roman"/>
                <w:color w:val="333333"/>
                <w:spacing w:val="5"/>
                <w:sz w:val="24"/>
                <w:szCs w:val="24"/>
                <w:lang w:val="et-EE" w:eastAsia="et-EE"/>
              </w:rPr>
              <w:t>Enabling Things to Talk</w:t>
              <w:br/>
            </w:r>
            <w:hyperlink r:id="rId2">
              <w:r>
                <w:rPr>
                  <w:rStyle w:val="Internetilink"/>
                </w:rPr>
                <w:t>http://link.springer.com/book/10.1007%2F978-3-642-40403-0</w:t>
              </w:r>
            </w:hyperlink>
          </w:p>
          <w:p>
            <w:pPr>
              <w:pStyle w:val="Western"/>
              <w:spacing w:lineRule="auto" w:line="240" w:before="280" w:after="200"/>
              <w:rPr/>
            </w:pPr>
            <w:r>
              <w:rPr/>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Asenduskirjandus:</w:t>
            </w:r>
          </w:p>
          <w:p>
            <w:pPr>
              <w:pStyle w:val="Western"/>
              <w:spacing w:lineRule="auto" w:line="240" w:before="280" w:after="119"/>
              <w:rPr/>
            </w:pPr>
            <w:r>
              <w:rPr/>
              <w:t>(üliõpilase poolt läbi töötatava kirjanduse loetelu, mis katab ainekursuse loengulist osa)</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Normal"/>
              <w:rPr/>
            </w:pPr>
            <w:r>
              <w:rPr/>
              <w:t>Õppeainet ei ole võimalik läbida asenduskirjanduse alusel</w:t>
            </w:r>
          </w:p>
          <w:p>
            <w:pPr>
              <w:pStyle w:val="Western"/>
              <w:spacing w:lineRule="auto" w:line="240" w:before="280" w:after="119"/>
              <w:rPr/>
            </w:pPr>
            <w:r>
              <w:rPr/>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Õppetöös osalemise ja eksamile/arvestusele pääsemise nõuded</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before="0" w:after="240"/>
              <w:rPr/>
            </w:pPr>
            <w:r>
              <w:rPr/>
              <w:t>Arvestuse saamiseks peavad olema sooritatud vähemalt kümne praktikumi tööd, kontrolltöö ning teooriaseminar.</w:t>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Iseseisva töö nõuded</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Normal"/>
              <w:rPr/>
            </w:pPr>
            <w:r>
              <w:rPr/>
              <w:t>Praktikumides alustatud lahenduste viimistlemine</w:t>
              <w:br/>
              <w:t>Enabling Things to Talk õpiku läbi töötamine</w:t>
              <w:br/>
            </w:r>
          </w:p>
          <w:p>
            <w:pPr>
              <w:pStyle w:val="Normal"/>
              <w:rPr/>
            </w:pPr>
            <w:r>
              <w:rPr/>
            </w:r>
          </w:p>
          <w:p>
            <w:pPr>
              <w:pStyle w:val="Western"/>
              <w:spacing w:lineRule="auto" w:line="240" w:before="280" w:after="119"/>
              <w:rPr/>
            </w:pPr>
            <w:r>
              <w:rPr/>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 xml:space="preserve">Eksami hindamiskriteeriumid või arvestuse sooritamiseks vajalik miinimumtase </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200"/>
              <w:rPr/>
            </w:pPr>
            <w:r>
              <w:rPr/>
              <w:t>Hindamiskriteeriumid, millest hindamisel lähtutakse:</w:t>
            </w:r>
          </w:p>
          <w:p>
            <w:pPr>
              <w:pStyle w:val="Western"/>
              <w:spacing w:lineRule="auto" w:line="240"/>
              <w:rPr/>
            </w:pPr>
            <w:r>
              <w:rPr/>
              <w:t>Arvestatud:</w:t>
            </w:r>
          </w:p>
          <w:p>
            <w:pPr>
              <w:pStyle w:val="Normal"/>
              <w:numPr>
                <w:ilvl w:val="0"/>
                <w:numId w:val="1"/>
              </w:numPr>
              <w:suppressAutoHyphens w:val="true"/>
              <w:snapToGrid w:val="false"/>
              <w:spacing w:lineRule="auto" w:line="240" w:before="0" w:after="0"/>
              <w:rPr/>
            </w:pPr>
            <w:r>
              <w:rPr/>
              <w:t>Tunneb võrku seadmete ühendamise viise ning mõistab nende toimimiseks koostada rakendusi</w:t>
            </w:r>
          </w:p>
          <w:p>
            <w:pPr>
              <w:pStyle w:val="Western"/>
              <w:spacing w:lineRule="auto" w:line="240" w:before="280" w:after="200"/>
              <w:rPr/>
            </w:pPr>
            <w:r>
              <w:rPr/>
            </w:r>
          </w:p>
        </w:tc>
      </w:tr>
      <w:tr>
        <w:trPr/>
        <w:tc>
          <w:tcPr>
            <w:tcW w:w="26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Informatsioon kursuse sisu kohta, kursuse jaotumine teemade kaupa sh kontakttundide ajad</w:t>
            </w:r>
          </w:p>
        </w:tc>
        <w:tc>
          <w:tcPr>
            <w:tcW w:w="7778"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Ajakava nädalate kaupa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07.09 PHP/MySQL veebilahenduste meeldetuletus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14.09 Seadmete sisse-välja lülitamine veebi kaudu</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21.09 Väärtuste logimine, logide graafiline esitamine ning arvuline analüüs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28.09 Piiramatu arvu väärtust hoidvate seadmete veebipõhine väärtuste logimine, konfigureerimine ja juhtimine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05.10 Filmivaataja pinget registreeriva seadme loomine, vaatajate tegevuste võrdlus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12.10 </w:t>
            </w:r>
            <w:r>
              <w:rPr>
                <w:rFonts w:eastAsia="Times New Roman" w:cs="Times New Roman" w:ascii="Times New Roman" w:hAnsi="Times New Roman"/>
                <w:sz w:val="20"/>
                <w:szCs w:val="20"/>
              </w:rPr>
              <w:t>Seoste leidmine vaatajaid ja filme pidi. Kasutajale eeldatavalt pingelisemate kohtade juures märku andmine ajateljel ja reaalajas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19.10 </w:t>
            </w:r>
            <w:r>
              <w:rPr>
                <w:rFonts w:eastAsia="Times New Roman" w:cs="Times New Roman" w:ascii="Times New Roman" w:hAnsi="Times New Roman"/>
                <w:sz w:val="20"/>
                <w:szCs w:val="20"/>
              </w:rPr>
              <w:t>Kiipkaardi läheduse registreerimine, uste avamise süsteem koos õigustega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02.11 </w:t>
            </w:r>
            <w:r>
              <w:rPr>
                <w:rFonts w:eastAsia="Times New Roman" w:cs="Times New Roman" w:ascii="Times New Roman" w:hAnsi="Times New Roman"/>
                <w:sz w:val="20"/>
                <w:szCs w:val="20"/>
              </w:rPr>
              <w:t>Sama ID-kaarte kasutades, õigused ja keelud isikute ja rühmadena, haldusliides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09.11 Raspberry Piga ühenduse loomise võimalused</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16.11 </w:t>
            </w:r>
            <w:r>
              <w:rPr>
                <w:rFonts w:eastAsia="Times New Roman" w:cs="Times New Roman" w:ascii="Times New Roman" w:hAnsi="Times New Roman"/>
                <w:sz w:val="20"/>
                <w:szCs w:val="20"/>
              </w:rPr>
              <w:t>NodeMCU abil võrgulahenduse loomine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23.11 </w:t>
            </w:r>
            <w:r>
              <w:rPr>
                <w:rFonts w:eastAsia="Times New Roman" w:cs="Times New Roman" w:ascii="Times New Roman" w:hAnsi="Times New Roman"/>
                <w:sz w:val="20"/>
                <w:szCs w:val="20"/>
              </w:rPr>
              <w:t>Pilte või videot kasutava lahenduse loomine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30.11 </w:t>
            </w:r>
            <w:r>
              <w:rPr>
                <w:rFonts w:eastAsia="Times New Roman" w:cs="Times New Roman" w:ascii="Times New Roman" w:hAnsi="Times New Roman"/>
                <w:sz w:val="20"/>
                <w:szCs w:val="20"/>
              </w:rPr>
              <w:t>Mehhaanilise seadme juhtimine üle võrgu ning töö tulemuse jälgimine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07.12 </w:t>
            </w:r>
            <w:r>
              <w:rPr>
                <w:rFonts w:eastAsia="Times New Roman" w:cs="Times New Roman" w:ascii="Times New Roman" w:hAnsi="Times New Roman"/>
                <w:sz w:val="20"/>
                <w:szCs w:val="20"/>
              </w:rPr>
              <w:t>Kontrolltöö</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14.12 </w:t>
            </w:r>
            <w:r>
              <w:rPr>
                <w:rFonts w:eastAsia="Times New Roman" w:cs="Times New Roman" w:ascii="Times New Roman" w:hAnsi="Times New Roman"/>
                <w:sz w:val="20"/>
                <w:szCs w:val="20"/>
              </w:rPr>
              <w:t>Seminar</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
          </w:p>
        </w:tc>
      </w:tr>
    </w:tbl>
    <w:p>
      <w:pPr>
        <w:pStyle w:val="Western"/>
        <w:spacing w:before="0" w:after="240"/>
        <w:rPr/>
      </w:pPr>
      <w:r>
        <w:rPr/>
      </w:r>
    </w:p>
    <w:tbl>
      <w:tblPr>
        <w:tblW w:w="2400" w:type="pct"/>
        <w:jc w:val="left"/>
        <w:tblInd w:w="-66"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35" w:type="dxa"/>
          <w:bottom w:w="105" w:type="dxa"/>
          <w:right w:w="105" w:type="dxa"/>
        </w:tblCellMar>
      </w:tblPr>
      <w:tblGrid>
        <w:gridCol w:w="2042"/>
        <w:gridCol w:w="2450"/>
      </w:tblGrid>
      <w:tr>
        <w:trPr/>
        <w:tc>
          <w:tcPr>
            <w:tcW w:w="204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Õppeainet kureeriv üksus:</w:t>
            </w:r>
          </w:p>
        </w:tc>
        <w:tc>
          <w:tcPr>
            <w:tcW w:w="24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Digitehnoloogiate</w:t>
            </w:r>
            <w:r>
              <w:rPr/>
              <w:t xml:space="preserve"> instituut</w:t>
            </w:r>
          </w:p>
        </w:tc>
      </w:tr>
      <w:tr>
        <w:trPr/>
        <w:tc>
          <w:tcPr>
            <w:tcW w:w="204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 xml:space="preserve">Kursuseprogrammi koostaja </w:t>
            </w:r>
          </w:p>
        </w:tc>
        <w:tc>
          <w:tcPr>
            <w:tcW w:w="24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r>
          </w:p>
        </w:tc>
      </w:tr>
      <w:tr>
        <w:trPr/>
        <w:tc>
          <w:tcPr>
            <w:tcW w:w="204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Allkiri:</w:t>
            </w:r>
          </w:p>
        </w:tc>
        <w:tc>
          <w:tcPr>
            <w:tcW w:w="24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r>
          </w:p>
        </w:tc>
      </w:tr>
      <w:tr>
        <w:trPr/>
        <w:tc>
          <w:tcPr>
            <w:tcW w:w="204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Kuupäev:</w:t>
            </w:r>
          </w:p>
        </w:tc>
        <w:tc>
          <w:tcPr>
            <w:tcW w:w="24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r>
          </w:p>
        </w:tc>
      </w:tr>
    </w:tbl>
    <w:p>
      <w:pPr>
        <w:pStyle w:val="Western"/>
        <w:rPr/>
      </w:pPr>
      <w:r>
        <w:rPr/>
        <w:t xml:space="preserve">Kursuseprogramm registreeritud akadeemilises üksuses </w:t>
      </w:r>
    </w:p>
    <w:tbl>
      <w:tblPr>
        <w:tblW w:w="2400" w:type="pct"/>
        <w:jc w:val="left"/>
        <w:tblInd w:w="-66"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35" w:type="dxa"/>
          <w:bottom w:w="105" w:type="dxa"/>
          <w:right w:w="105" w:type="dxa"/>
        </w:tblCellMar>
      </w:tblPr>
      <w:tblGrid>
        <w:gridCol w:w="1961"/>
        <w:gridCol w:w="2531"/>
      </w:tblGrid>
      <w:tr>
        <w:trPr/>
        <w:tc>
          <w:tcPr>
            <w:tcW w:w="196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Kuupäev</w:t>
            </w:r>
          </w:p>
        </w:tc>
        <w:tc>
          <w:tcPr>
            <w:tcW w:w="253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r>
          </w:p>
        </w:tc>
      </w:tr>
      <w:tr>
        <w:trPr/>
        <w:tc>
          <w:tcPr>
            <w:tcW w:w="196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Õppeassistendi nimi</w:t>
            </w:r>
          </w:p>
        </w:tc>
        <w:tc>
          <w:tcPr>
            <w:tcW w:w="253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r>
          </w:p>
        </w:tc>
      </w:tr>
      <w:tr>
        <w:trPr/>
        <w:tc>
          <w:tcPr>
            <w:tcW w:w="196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t>Allkiri</w:t>
            </w:r>
          </w:p>
        </w:tc>
        <w:tc>
          <w:tcPr>
            <w:tcW w:w="253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FFFFFF" w:val="clear"/>
            <w:tcMar>
              <w:left w:w="35" w:type="dxa"/>
            </w:tcMar>
          </w:tcPr>
          <w:p>
            <w:pPr>
              <w:pStyle w:val="Western"/>
              <w:spacing w:lineRule="auto" w:line="240" w:before="280" w:after="119"/>
              <w:rPr/>
            </w:pPr>
            <w:r>
              <w:rPr/>
            </w:r>
          </w:p>
        </w:tc>
      </w:tr>
    </w:tbl>
    <w:p>
      <w:pPr>
        <w:pStyle w:val="Western"/>
        <w:spacing w:before="0" w:after="240"/>
        <w:rPr/>
      </w:pPr>
      <w:r>
        <w:rPr/>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n-US" w:eastAsia="en-US" w:bidi="ar-SA"/>
      </w:rPr>
    </w:rPrDefault>
    <w:pPrDefault>
      <w:pPr/>
    </w:pPrDefault>
  </w:docDefaults>
  <w:style w:type="paragraph" w:styleId="Normal">
    <w:name w:val="Normal"/>
    <w:qFormat/>
    <w:pPr>
      <w:widowControl/>
      <w:kinsoku w:val="true"/>
      <w:overflowPunct w:val="true"/>
      <w:autoSpaceDE w:val="true"/>
      <w:bidi w:val="0"/>
      <w:spacing w:lineRule="auto" w:line="276" w:before="0" w:after="200"/>
      <w:jc w:val="left"/>
    </w:pPr>
    <w:rPr>
      <w:rFonts w:ascii="Calibri" w:hAnsi="Calibri" w:eastAsia="Calibri" w:cs="Tahoma"/>
      <w:color w:val="00000A"/>
      <w:sz w:val="22"/>
      <w:szCs w:val="22"/>
      <w:lang w:val="en-US" w:eastAsia="en-US" w:bidi="ar-SA"/>
    </w:rPr>
  </w:style>
  <w:style w:type="paragraph" w:styleId="Pealkiri1">
    <w:name w:val="Heading 1"/>
    <w:basedOn w:val="Normal"/>
    <w:qFormat/>
    <w:pPr>
      <w:numPr>
        <w:ilvl w:val="0"/>
        <w:numId w:val="0"/>
      </w:numPr>
      <w:spacing w:lineRule="auto" w:line="240" w:before="280" w:after="280"/>
      <w:outlineLvl w:val="0"/>
    </w:pPr>
    <w:rPr>
      <w:rFonts w:ascii="Times New Roman" w:hAnsi="Times New Roman" w:eastAsia="Times New Roman" w:cs="Times New Roman"/>
      <w:b/>
      <w:bCs/>
      <w:sz w:val="48"/>
      <w:szCs w:val="48"/>
      <w:lang w:val="et-EE" w:eastAsia="et-EE"/>
    </w:rPr>
  </w:style>
  <w:style w:type="character" w:styleId="DefaultParagraphFont">
    <w:name w:val="Default Paragraph Font"/>
    <w:qFormat/>
    <w:rPr/>
  </w:style>
  <w:style w:type="character" w:styleId="Internetilink">
    <w:name w:val="Internetilink"/>
    <w:basedOn w:val="DefaultParagraphFont"/>
    <w:rPr>
      <w:color w:val="0000FF"/>
      <w:u w:val="single"/>
    </w:rPr>
  </w:style>
  <w:style w:type="character" w:styleId="HTMLPreformattedChar">
    <w:name w:val="HTML Preformatted Char"/>
    <w:basedOn w:val="DefaultParagraphFont"/>
    <w:qFormat/>
    <w:rPr>
      <w:rFonts w:ascii="Courier New" w:hAnsi="Courier New" w:eastAsia="Times New Roman" w:cs="Courier New"/>
      <w:sz w:val="20"/>
      <w:szCs w:val="20"/>
    </w:rPr>
  </w:style>
  <w:style w:type="character" w:styleId="Heading1Char">
    <w:name w:val="Heading 1 Char"/>
    <w:basedOn w:val="DefaultParagraphFont"/>
    <w:qFormat/>
    <w:rPr>
      <w:rFonts w:ascii="Times New Roman" w:hAnsi="Times New Roman" w:eastAsia="Times New Roman" w:cs="Times New Roman"/>
      <w:b/>
      <w:bCs/>
      <w:sz w:val="48"/>
      <w:szCs w:val="48"/>
      <w:lang w:val="et-EE" w:eastAsia="et-E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paragraph" w:styleId="Pealkiri">
    <w:name w:val="Pealkiri"/>
    <w:basedOn w:val="Normal"/>
    <w:next w:val="Phitekst"/>
    <w:qFormat/>
    <w:pPr>
      <w:keepNext/>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88"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Western">
    <w:name w:val="western"/>
    <w:basedOn w:val="Normal"/>
    <w:qFormat/>
    <w:pPr>
      <w:spacing w:lineRule="auto" w:line="240" w:before="280" w:after="119"/>
    </w:pPr>
    <w:rPr>
      <w:rFonts w:ascii="Times New Roman" w:hAnsi="Times New Roman" w:eastAsia="Times New Roman" w:cs="Times New Roman"/>
      <w:sz w:val="24"/>
      <w:szCs w:val="24"/>
      <w:lang w:val="et-EE" w:eastAsia="et-EE"/>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Tabelisisu">
    <w:name w:val="Tabeli sisu"/>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ink.springer.com/book/10.1007%2F978-3-642-40403-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1729</TotalTime>
  <Application>LibreOffice/5.2.1.2$Windows_x86 LibreOffice_project/31dd62db80d4e60af04904455ec9c9219178d620</Application>
  <Pages>4</Pages>
  <Words>388</Words>
  <Characters>3140</Characters>
  <CharactersWithSpaces>3477</CharactersWithSpaces>
  <Paragraphs>59</Paragraphs>
  <Company>TLÜ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2011-09-02T11:29:00Z</dcterms:created>
  <dc:creator>kasutaja</dc:creator>
  <dc:description/>
  <dc:language>et-EE</dc:language>
  <cp:lastModifiedBy/>
  <dcterms:modified xsi:type="dcterms:W3CDTF">2018-08-11T20:37:42Z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TLÜ</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